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094F5491"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ОПИС </w:t>
      </w:r>
      <w:r w:rsidR="004B4BAD">
        <w:rPr>
          <w:rFonts w:ascii="Times New Roman" w:hAnsi="Times New Roman"/>
          <w:b/>
          <w:bCs/>
          <w:sz w:val="28"/>
          <w:szCs w:val="28"/>
        </w:rPr>
        <w:t xml:space="preserve">ТИМЧАСОВО </w:t>
      </w:r>
      <w:r w:rsidRPr="002A1672">
        <w:rPr>
          <w:rFonts w:ascii="Times New Roman" w:hAnsi="Times New Roman"/>
          <w:b/>
          <w:bCs/>
          <w:sz w:val="28"/>
          <w:szCs w:val="28"/>
        </w:rPr>
        <w:t>ВАКАН</w:t>
      </w:r>
      <w:r w:rsidR="0044659E" w:rsidRPr="002A1672">
        <w:rPr>
          <w:rFonts w:ascii="Times New Roman" w:hAnsi="Times New Roman"/>
          <w:b/>
          <w:bCs/>
          <w:sz w:val="28"/>
          <w:szCs w:val="28"/>
        </w:rPr>
        <w:t>ТНОЇ ПОСАДИ</w:t>
      </w:r>
    </w:p>
    <w:p w14:paraId="387CBF33"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14:paraId="24BFE50A"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70C27E7B"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B5A3C4B" w14:textId="70C70064" w:rsidR="00104C46" w:rsidRPr="002A1672" w:rsidRDefault="00104C46" w:rsidP="00E9785D">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Головний спеціаліст </w:t>
            </w:r>
            <w:bookmarkStart w:id="0" w:name="_Hlk151043112"/>
            <w:r w:rsidR="004B4BAD">
              <w:rPr>
                <w:rFonts w:ascii="Times New Roman" w:eastAsia="Times New Roman" w:hAnsi="Times New Roman"/>
                <w:sz w:val="28"/>
                <w:szCs w:val="28"/>
                <w:lang w:eastAsia="ru-RU"/>
              </w:rPr>
              <w:t xml:space="preserve">режимно-секретної частини (на правах відділу) </w:t>
            </w:r>
            <w:r w:rsidRPr="002A1672">
              <w:rPr>
                <w:rFonts w:ascii="Times New Roman" w:eastAsia="Times New Roman" w:hAnsi="Times New Roman"/>
                <w:sz w:val="28"/>
                <w:szCs w:val="28"/>
                <w:lang w:eastAsia="ru-RU"/>
              </w:rPr>
              <w:t xml:space="preserve">Вінницької обласної прокуратури, </w:t>
            </w:r>
            <w:bookmarkEnd w:id="0"/>
            <w:r w:rsidRPr="002A1672">
              <w:rPr>
                <w:rFonts w:ascii="Times New Roman" w:eastAsia="Times New Roman" w:hAnsi="Times New Roman"/>
                <w:sz w:val="28"/>
                <w:szCs w:val="28"/>
                <w:lang w:eastAsia="ru-RU"/>
              </w:rPr>
              <w:t>категорія В/В1</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45358E0A"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Забезпечення режиму секретності під час проведення усіх видів секретних робіт. Контроль за додержанням працівниками Вінницької обласної прокуратури, а також відрядженими до обласної прокуратури осіб, виконання вимог законодавства у сфері охорони державної таємниці.</w:t>
            </w:r>
          </w:p>
          <w:p w14:paraId="3296E249" w14:textId="46A6FD86"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Забезпечення</w:t>
            </w:r>
            <w:r>
              <w:rPr>
                <w:rFonts w:ascii="Times New Roman" w:eastAsia="Times New Roman" w:hAnsi="Times New Roman"/>
                <w:sz w:val="28"/>
                <w:szCs w:val="28"/>
                <w:lang w:eastAsia="ru-RU"/>
              </w:rPr>
              <w:t xml:space="preserve"> </w:t>
            </w:r>
            <w:r w:rsidRPr="004B4BAD">
              <w:rPr>
                <w:rFonts w:ascii="Times New Roman" w:eastAsia="Times New Roman" w:hAnsi="Times New Roman"/>
                <w:sz w:val="28"/>
                <w:szCs w:val="28"/>
                <w:lang w:eastAsia="ru-RU"/>
              </w:rPr>
              <w:t>недопущення необґрунтованого допуску та доступу осіб до секретної інформації.</w:t>
            </w:r>
          </w:p>
          <w:p w14:paraId="6173DD63"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Виготовлення секретних документів та документів з обмеженим доступом відповідно до встановлених вимог законодавства на автоматизованих системах режимно-секретної частини обласної прокуратури.</w:t>
            </w:r>
          </w:p>
          <w:p w14:paraId="35011B1F"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Забезпечення постійного контролю за користувачами під час обробки секретної інформації на автоматизованих системах.</w:t>
            </w:r>
          </w:p>
          <w:p w14:paraId="067A4D48"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Ознайомлення працівників обласної прокуратури, яким надано допуск та доступ до державної таємниці, у частині, що їх стосується, з вимогами нормативних актів та організаційно-розпорядчих документів, що регламентують діяльність, пов'язану з охороною державної таємниці, веденням секретного діловодства, поводженням з матеріальними носіями секретної інформації, їх зберіганням та використанням. Забезпечення належного їх виконання.</w:t>
            </w:r>
          </w:p>
          <w:p w14:paraId="1CF36E8B"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Виконання в установленому порядку робіт, пов'язаних з веденням секретного діловодства:</w:t>
            </w:r>
          </w:p>
          <w:p w14:paraId="41E4847E"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здійснення обліку, зберігання секретних документів, справ, та інших матеріальних носіїв секретної інформації та їх підготовку на архівне зберігання;</w:t>
            </w:r>
          </w:p>
          <w:p w14:paraId="41387B1B" w14:textId="63248021"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xml:space="preserve">- здійснення обліку (прийому) вхідної секретної кореспонденції та згідно з чинною </w:t>
            </w:r>
            <w:r w:rsidRPr="004B4BAD">
              <w:rPr>
                <w:rFonts w:ascii="Times New Roman" w:eastAsia="Times New Roman" w:hAnsi="Times New Roman"/>
                <w:sz w:val="28"/>
                <w:szCs w:val="28"/>
                <w:lang w:eastAsia="ru-RU"/>
              </w:rPr>
              <w:lastRenderedPageBreak/>
              <w:t>системою доступу підготовка її для подання на доповідь керівництву, а</w:t>
            </w:r>
            <w:r>
              <w:rPr>
                <w:rFonts w:ascii="Times New Roman" w:eastAsia="Times New Roman" w:hAnsi="Times New Roman"/>
                <w:sz w:val="28"/>
                <w:szCs w:val="28"/>
                <w:lang w:eastAsia="ru-RU"/>
              </w:rPr>
              <w:t xml:space="preserve"> </w:t>
            </w:r>
            <w:r w:rsidRPr="004B4BAD">
              <w:rPr>
                <w:rFonts w:ascii="Times New Roman" w:eastAsia="Times New Roman" w:hAnsi="Times New Roman"/>
                <w:sz w:val="28"/>
                <w:szCs w:val="28"/>
                <w:lang w:eastAsia="ru-RU"/>
              </w:rPr>
              <w:t>також здійснення її видачі безпосередньо виконавцям відповідно до встановлених резолюцій;</w:t>
            </w:r>
          </w:p>
          <w:p w14:paraId="2ED78716"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здійснення обліку (прийому), оформлення, адресування та своєчасної відправки (розсипки) вихідної секретної кореспонденції;</w:t>
            </w:r>
          </w:p>
          <w:p w14:paraId="1D662D63"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здійснення оформлення, зберігання, та ведення журналів обліку, робочих зошитів, окремих аркушів, чернеток, бланків (форм) та участь у їх знищенні в установленому законодавством порядку;</w:t>
            </w:r>
          </w:p>
          <w:p w14:paraId="73E7F2FF"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Участь в межах своєї компетенції:</w:t>
            </w:r>
          </w:p>
          <w:p w14:paraId="24621E25"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у розробці проектів інструкцій, положень та інших організаційно-розпорядчих та методичних документів, що регламентують режимно-секретну діяльність в обласній прокуратурі;</w:t>
            </w:r>
          </w:p>
          <w:p w14:paraId="632B2E82"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в роботі експертних комісій, комісій з питань державних таємниць обласної прокуратури, а також комісії щодо проведення перевірки наявності секретних документів та документів з грифом обмеження доступу «Для службового користування», а також у їх відбиранні на знищення:</w:t>
            </w:r>
          </w:p>
          <w:p w14:paraId="0AA40C7E" w14:textId="2F148D16"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xml:space="preserve">- у підготовці документів для отримання спеціального дозволу на провадження діяльності, пов'язаної з державною таємницею; </w:t>
            </w:r>
          </w:p>
          <w:p w14:paraId="527FFA64"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у виконанні планових заходів, завдань та доручень;</w:t>
            </w:r>
          </w:p>
          <w:p w14:paraId="12B5A626"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у розгляді пропозицій щодо виплати працівникам в установленому порядку компенсації за роботу в умовах режимних обмежень.</w:t>
            </w:r>
          </w:p>
          <w:p w14:paraId="5DB3AEC9" w14:textId="03118FE6"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xml:space="preserve">У разі нагальної потреби в межах міста доставляти адресату </w:t>
            </w:r>
            <w:r w:rsidR="00660DFC">
              <w:rPr>
                <w:rFonts w:ascii="Times New Roman" w:eastAsia="Times New Roman" w:hAnsi="Times New Roman"/>
                <w:sz w:val="28"/>
                <w:szCs w:val="28"/>
                <w:lang w:eastAsia="ru-RU"/>
              </w:rPr>
              <w:t xml:space="preserve">секретні </w:t>
            </w:r>
            <w:r w:rsidRPr="004B4BAD">
              <w:rPr>
                <w:rFonts w:ascii="Times New Roman" w:eastAsia="Times New Roman" w:hAnsi="Times New Roman"/>
                <w:sz w:val="28"/>
                <w:szCs w:val="28"/>
                <w:lang w:eastAsia="ru-RU"/>
              </w:rPr>
              <w:t>документи.</w:t>
            </w:r>
          </w:p>
          <w:p w14:paraId="51452A96" w14:textId="77777777" w:rsidR="004B4BAD" w:rsidRPr="004B4BAD"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Забезпечення належного зберігання державної таємниці та персональних даних осіб, що стали відомі у зв'язку з виконанням посадових обов'язків, а також іншу інформацію, яка відповідно до закону не підлягає розголошенню.</w:t>
            </w:r>
          </w:p>
          <w:p w14:paraId="19BBA8A3" w14:textId="6D352FD7" w:rsidR="00DB0936" w:rsidRPr="002A1672" w:rsidRDefault="004B4BAD" w:rsidP="004B4BAD">
            <w:pPr>
              <w:spacing w:after="0" w:line="240" w:lineRule="auto"/>
              <w:ind w:left="142" w:right="136"/>
              <w:jc w:val="both"/>
              <w:rPr>
                <w:rFonts w:ascii="Times New Roman" w:eastAsia="Times New Roman" w:hAnsi="Times New Roman"/>
                <w:sz w:val="28"/>
                <w:szCs w:val="28"/>
                <w:lang w:eastAsia="ru-RU"/>
              </w:rPr>
            </w:pPr>
            <w:r w:rsidRPr="004B4BAD">
              <w:rPr>
                <w:rFonts w:ascii="Times New Roman" w:eastAsia="Times New Roman" w:hAnsi="Times New Roman"/>
                <w:sz w:val="28"/>
                <w:szCs w:val="28"/>
                <w:lang w:eastAsia="ru-RU"/>
              </w:rPr>
              <w:t xml:space="preserve">Виконання інших службових завдань і доручень керівництва та начальника відділу обласної прокуратури, пов’язаних із </w:t>
            </w:r>
            <w:r w:rsidRPr="004B4BAD">
              <w:rPr>
                <w:rFonts w:ascii="Times New Roman" w:eastAsia="Times New Roman" w:hAnsi="Times New Roman"/>
                <w:sz w:val="28"/>
                <w:szCs w:val="28"/>
                <w:lang w:eastAsia="ru-RU"/>
              </w:rPr>
              <w:lastRenderedPageBreak/>
              <w:t>забезпеченням виконання покладених на структурний підрозділ завдань</w:t>
            </w:r>
            <w:r>
              <w:rPr>
                <w:rFonts w:ascii="Times New Roman" w:eastAsia="Times New Roman" w:hAnsi="Times New Roman"/>
                <w:sz w:val="28"/>
                <w:szCs w:val="28"/>
                <w:lang w:eastAsia="ru-RU"/>
              </w:rPr>
              <w:t>.</w:t>
            </w:r>
          </w:p>
        </w:tc>
      </w:tr>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231C2CF5" w:rsidR="00DB0936" w:rsidRPr="00E9785D" w:rsidRDefault="00DB0936" w:rsidP="00DB0936">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Pr="002A1672">
              <w:rPr>
                <w:rFonts w:ascii="Times New Roman" w:hAnsi="Times New Roman"/>
                <w:sz w:val="28"/>
                <w:szCs w:val="28"/>
              </w:rPr>
              <w:t xml:space="preserve"> </w:t>
            </w:r>
            <w:r w:rsidRPr="00E9785D">
              <w:rPr>
                <w:rFonts w:ascii="Times New Roman" w:hAnsi="Times New Roman"/>
                <w:sz w:val="28"/>
                <w:szCs w:val="28"/>
              </w:rPr>
              <w:t>посадовий оклад – 1</w:t>
            </w:r>
            <w:r w:rsidR="004B4BAD">
              <w:rPr>
                <w:rFonts w:ascii="Times New Roman" w:hAnsi="Times New Roman"/>
                <w:sz w:val="28"/>
                <w:szCs w:val="28"/>
              </w:rPr>
              <w:t>0309</w:t>
            </w:r>
            <w:r w:rsidRPr="00E9785D">
              <w:rPr>
                <w:rFonts w:ascii="Times New Roman" w:hAnsi="Times New Roman"/>
                <w:sz w:val="28"/>
                <w:szCs w:val="28"/>
              </w:rPr>
              <w:t>, 00 грн.;</w:t>
            </w:r>
          </w:p>
          <w:p w14:paraId="0C08DBDB" w14:textId="761FF1B4" w:rsidR="00DB0936" w:rsidRPr="00E9785D" w:rsidRDefault="00DB0936" w:rsidP="00DB0936">
            <w:pPr>
              <w:spacing w:after="0" w:line="240" w:lineRule="auto"/>
              <w:ind w:left="142" w:hanging="142"/>
              <w:jc w:val="both"/>
              <w:rPr>
                <w:rFonts w:ascii="Times New Roman" w:hAnsi="Times New Roman"/>
              </w:rPr>
            </w:pPr>
            <w:r w:rsidRPr="00E9785D">
              <w:rPr>
                <w:rFonts w:ascii="Times New Roman" w:hAnsi="Times New Roman"/>
                <w:sz w:val="28"/>
                <w:szCs w:val="28"/>
              </w:rPr>
              <w:t xml:space="preserve">   надбавки, доплати, премії та компенсації </w:t>
            </w:r>
            <w:r>
              <w:rPr>
                <w:rFonts w:ascii="Times New Roman" w:hAnsi="Times New Roman"/>
                <w:sz w:val="28"/>
                <w:szCs w:val="28"/>
              </w:rPr>
              <w:t xml:space="preserve">  </w:t>
            </w:r>
            <w:r w:rsidRPr="00E9785D">
              <w:rPr>
                <w:rFonts w:ascii="Times New Roman" w:hAnsi="Times New Roman"/>
                <w:sz w:val="28"/>
                <w:szCs w:val="28"/>
              </w:rPr>
              <w:t xml:space="preserve">відповідно до статей 50-52 Закону України «Про державну службу», Закону України «Про Державний бюджет України </w:t>
            </w:r>
            <w:r>
              <w:rPr>
                <w:rFonts w:ascii="Times New Roman" w:hAnsi="Times New Roman"/>
                <w:sz w:val="28"/>
                <w:szCs w:val="28"/>
              </w:rPr>
              <w:t xml:space="preserve">                                   </w:t>
            </w:r>
            <w:r w:rsidRPr="00E9785D">
              <w:rPr>
                <w:rFonts w:ascii="Times New Roman" w:hAnsi="Times New Roman"/>
                <w:sz w:val="28"/>
                <w:szCs w:val="28"/>
              </w:rPr>
              <w:t>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 xml:space="preserve">від 18 січня 2017 року № 15 «Питання оплати праці працівників державних органів», </w:t>
            </w:r>
            <w:r>
              <w:rPr>
                <w:rFonts w:ascii="Times New Roman" w:hAnsi="Times New Roman"/>
                <w:sz w:val="28"/>
                <w:szCs w:val="28"/>
              </w:rPr>
              <w:t xml:space="preserve">                     </w:t>
            </w:r>
            <w:r w:rsidRPr="00E9785D">
              <w:rPr>
                <w:rFonts w:ascii="Times New Roman" w:hAnsi="Times New Roman"/>
                <w:sz w:val="28"/>
                <w:szCs w:val="28"/>
              </w:rPr>
              <w:t>від 29 грудня 2023 року № 1409 «Питання оплати праці державних службовців на основі класифікації посад у 2024 році»</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2C55EACE" w:rsidR="00DB0936" w:rsidRPr="002A1672" w:rsidRDefault="00DB0936" w:rsidP="00DB0936">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xml:space="preserve">, </w:t>
            </w:r>
            <w:r w:rsidR="004B4BAD">
              <w:rPr>
                <w:rFonts w:ascii="Times New Roman" w:eastAsia="Times New Roman" w:hAnsi="Times New Roman"/>
                <w:sz w:val="28"/>
                <w:szCs w:val="28"/>
              </w:rPr>
              <w:t xml:space="preserve">на </w:t>
            </w:r>
            <w:r w:rsidR="004B4BAD" w:rsidRPr="004B4BAD">
              <w:rPr>
                <w:rFonts w:ascii="Times New Roman" w:eastAsia="Times New Roman" w:hAnsi="Times New Roman"/>
                <w:sz w:val="28"/>
                <w:szCs w:val="28"/>
              </w:rPr>
              <w:t>період відпустки для догляду за дитиною до досягнення нею 3-річного віку головного спеціаліста режимно-секретної частини (на правах відділу)</w:t>
            </w:r>
            <w:r w:rsidR="004B4BAD">
              <w:rPr>
                <w:rFonts w:ascii="Times New Roman" w:eastAsia="Times New Roman" w:hAnsi="Times New Roman"/>
                <w:sz w:val="28"/>
                <w:szCs w:val="28"/>
              </w:rPr>
              <w:t xml:space="preserve"> </w:t>
            </w:r>
            <w:r w:rsidR="004B4BAD" w:rsidRPr="004C1F8A">
              <w:rPr>
                <w:rFonts w:ascii="Times New Roman" w:eastAsia="Times New Roman" w:hAnsi="Times New Roman"/>
                <w:sz w:val="28"/>
                <w:szCs w:val="28"/>
              </w:rPr>
              <w:t>або до дня призначення на цю посаду переможця конкурсу, але не більше 12 місяців з дня припинення чи скасування воєнного стану.</w:t>
            </w:r>
          </w:p>
        </w:tc>
      </w:tr>
      <w:tr w:rsidR="00DB0936" w:rsidRPr="002A1672" w14:paraId="7EC8409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48B457B8"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3) копію документа, що підтверджує рівень освіти;</w:t>
            </w:r>
          </w:p>
          <w:p w14:paraId="0AD9CFE1"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14:paraId="6108930C" w14:textId="77777777" w:rsidR="00DB0936" w:rsidRDefault="00DB0936" w:rsidP="00DB093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 xml:space="preserve">довідка за результатами перевірки, проведеної відповідно до вимог Закону України «Про очищення влади» (за </w:t>
            </w:r>
            <w:r w:rsidRPr="002A1672">
              <w:rPr>
                <w:rFonts w:ascii="Times New Roman" w:hAnsi="Times New Roman"/>
                <w:sz w:val="28"/>
                <w:szCs w:val="28"/>
              </w:rPr>
              <w:lastRenderedPageBreak/>
              <w:t>наявності)</w:t>
            </w:r>
            <w:r>
              <w:rPr>
                <w:rFonts w:ascii="Times New Roman" w:hAnsi="Times New Roman"/>
                <w:sz w:val="28"/>
                <w:szCs w:val="28"/>
              </w:rPr>
              <w:t>;</w:t>
            </w:r>
          </w:p>
          <w:p w14:paraId="20FE28ED" w14:textId="41B9C766"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2" w:name="n23"/>
            <w:bookmarkEnd w:id="2"/>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p w14:paraId="5174BF59" w14:textId="6867A45F" w:rsidR="00DB0936" w:rsidRPr="00660DFC" w:rsidRDefault="00660DFC" w:rsidP="00DB0936">
            <w:pPr>
              <w:widowControl w:val="0"/>
              <w:tabs>
                <w:tab w:val="left" w:pos="1440"/>
              </w:tabs>
              <w:spacing w:after="0" w:line="240" w:lineRule="auto"/>
              <w:ind w:left="142" w:right="137"/>
              <w:jc w:val="both"/>
              <w:rPr>
                <w:rFonts w:ascii="Times New Roman" w:hAnsi="Times New Roman"/>
                <w:sz w:val="28"/>
                <w:szCs w:val="28"/>
              </w:rPr>
            </w:pPr>
            <w:r w:rsidRPr="00660DFC">
              <w:rPr>
                <w:rFonts w:ascii="Times New Roman" w:hAnsi="Times New Roman"/>
                <w:sz w:val="28"/>
                <w:szCs w:val="28"/>
              </w:rPr>
              <w:t xml:space="preserve">8) </w:t>
            </w:r>
            <w:r>
              <w:rPr>
                <w:rFonts w:ascii="Times New Roman" w:hAnsi="Times New Roman"/>
                <w:sz w:val="28"/>
                <w:szCs w:val="28"/>
              </w:rPr>
              <w:t>довідка про допуск до державної таємниці (у разі наявності попуску)</w:t>
            </w:r>
          </w:p>
          <w:p w14:paraId="06DD9C77" w14:textId="6DE42EBC" w:rsidR="00DB0936" w:rsidRPr="002A1672" w:rsidRDefault="00DB0936" w:rsidP="00DB093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1</w:t>
            </w:r>
            <w:r>
              <w:rPr>
                <w:rFonts w:ascii="Times New Roman" w:hAnsi="Times New Roman"/>
                <w:b/>
                <w:sz w:val="28"/>
                <w:szCs w:val="28"/>
              </w:rPr>
              <w:t>8</w:t>
            </w:r>
            <w:r w:rsidRPr="002A1672">
              <w:rPr>
                <w:rFonts w:ascii="Times New Roman" w:hAnsi="Times New Roman"/>
                <w:b/>
                <w:sz w:val="28"/>
                <w:szCs w:val="28"/>
              </w:rPr>
              <w:t xml:space="preserve"> год 00 хв                     </w:t>
            </w:r>
            <w:r>
              <w:rPr>
                <w:rFonts w:ascii="Times New Roman" w:hAnsi="Times New Roman"/>
                <w:b/>
                <w:bCs/>
                <w:sz w:val="28"/>
                <w:szCs w:val="28"/>
              </w:rPr>
              <w:t>2</w:t>
            </w:r>
            <w:r w:rsidR="004B4BAD">
              <w:rPr>
                <w:rFonts w:ascii="Times New Roman" w:hAnsi="Times New Roman"/>
                <w:b/>
                <w:bCs/>
                <w:sz w:val="28"/>
                <w:szCs w:val="28"/>
              </w:rPr>
              <w:t>6</w:t>
            </w:r>
            <w:r w:rsidRPr="002A1672">
              <w:rPr>
                <w:rFonts w:ascii="Times New Roman" w:hAnsi="Times New Roman"/>
                <w:b/>
                <w:bCs/>
                <w:sz w:val="28"/>
                <w:szCs w:val="28"/>
              </w:rPr>
              <w:t xml:space="preserve"> </w:t>
            </w:r>
            <w:r w:rsidR="00946023">
              <w:rPr>
                <w:rFonts w:ascii="Times New Roman" w:hAnsi="Times New Roman"/>
                <w:b/>
                <w:bCs/>
                <w:sz w:val="28"/>
                <w:szCs w:val="28"/>
              </w:rPr>
              <w:t>лютого</w:t>
            </w:r>
            <w:r w:rsidRPr="002A1672">
              <w:rPr>
                <w:rFonts w:ascii="Times New Roman" w:hAnsi="Times New Roman"/>
                <w:b/>
                <w:bCs/>
                <w:sz w:val="28"/>
                <w:szCs w:val="28"/>
              </w:rPr>
              <w:t xml:space="preserve"> 202</w:t>
            </w:r>
            <w:r w:rsidR="00AB3C9D">
              <w:rPr>
                <w:rFonts w:ascii="Times New Roman" w:hAnsi="Times New Roman"/>
                <w:b/>
                <w:bCs/>
                <w:sz w:val="28"/>
                <w:szCs w:val="28"/>
              </w:rPr>
              <w:t>4</w:t>
            </w:r>
            <w:r w:rsidRPr="002A1672">
              <w:rPr>
                <w:rFonts w:ascii="Times New Roman" w:hAnsi="Times New Roman"/>
                <w:b/>
                <w:bCs/>
                <w:sz w:val="28"/>
                <w:szCs w:val="28"/>
              </w:rPr>
              <w:t xml:space="preserve">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адресою: </w:t>
            </w:r>
            <w:r w:rsidRPr="002A1672">
              <w:rPr>
                <w:rFonts w:ascii="Times New Roman" w:hAnsi="Times New Roman"/>
                <w:b/>
                <w:bCs/>
                <w:sz w:val="28"/>
                <w:szCs w:val="28"/>
              </w:rPr>
              <w:t>вул. Монастирська, 33,                              м. Вінниця</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2A1672" w:rsidRDefault="00DB0936" w:rsidP="00DB0936">
            <w:pPr>
              <w:spacing w:after="0" w:line="240" w:lineRule="auto"/>
              <w:ind w:right="135" w:firstLine="142"/>
              <w:jc w:val="both"/>
              <w:rPr>
                <w:rFonts w:ascii="Times New Roman" w:hAnsi="Times New Roman"/>
                <w:sz w:val="28"/>
                <w:szCs w:val="28"/>
              </w:rPr>
            </w:pPr>
            <w:proofErr w:type="spellStart"/>
            <w:r>
              <w:rPr>
                <w:rFonts w:ascii="Times New Roman" w:hAnsi="Times New Roman"/>
                <w:sz w:val="28"/>
                <w:szCs w:val="28"/>
              </w:rPr>
              <w:t>Смілянець</w:t>
            </w:r>
            <w:proofErr w:type="spellEnd"/>
            <w:r>
              <w:rPr>
                <w:rFonts w:ascii="Times New Roman" w:hAnsi="Times New Roman"/>
                <w:sz w:val="28"/>
                <w:szCs w:val="28"/>
              </w:rPr>
              <w:t xml:space="preserve"> Вероніка Юріївна</w:t>
            </w:r>
            <w:r w:rsidRPr="002A1672">
              <w:rPr>
                <w:rFonts w:ascii="Times New Roman" w:hAnsi="Times New Roman"/>
                <w:sz w:val="28"/>
                <w:szCs w:val="28"/>
              </w:rPr>
              <w:t xml:space="preserve">, </w:t>
            </w:r>
          </w:p>
          <w:p w14:paraId="32DB5B3F" w14:textId="17FEE82E" w:rsidR="00DB0936" w:rsidRPr="002A1672" w:rsidRDefault="00DB0936" w:rsidP="00DB093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w:t>
            </w:r>
            <w:r>
              <w:rPr>
                <w:rFonts w:ascii="Times New Roman" w:hAnsi="Times New Roman"/>
                <w:sz w:val="28"/>
                <w:szCs w:val="28"/>
              </w:rPr>
              <w:t xml:space="preserve">+38 </w:t>
            </w:r>
            <w:r w:rsidRPr="002A1672">
              <w:rPr>
                <w:rFonts w:ascii="Times New Roman" w:hAnsi="Times New Roman"/>
                <w:sz w:val="28"/>
                <w:szCs w:val="28"/>
              </w:rPr>
              <w:t>(0</w:t>
            </w:r>
            <w:r>
              <w:rPr>
                <w:rFonts w:ascii="Times New Roman" w:hAnsi="Times New Roman"/>
                <w:sz w:val="28"/>
                <w:szCs w:val="28"/>
              </w:rPr>
              <w:t>73</w:t>
            </w:r>
            <w:r w:rsidRPr="002A1672">
              <w:rPr>
                <w:rFonts w:ascii="Times New Roman" w:hAnsi="Times New Roman"/>
                <w:sz w:val="28"/>
                <w:szCs w:val="28"/>
              </w:rPr>
              <w:t xml:space="preserve">) </w:t>
            </w:r>
            <w:r>
              <w:rPr>
                <w:rFonts w:ascii="Times New Roman" w:hAnsi="Times New Roman"/>
                <w:sz w:val="28"/>
                <w:szCs w:val="28"/>
              </w:rPr>
              <w:t>023</w:t>
            </w:r>
            <w:r w:rsidRPr="002A1672">
              <w:rPr>
                <w:rFonts w:ascii="Times New Roman" w:hAnsi="Times New Roman"/>
                <w:sz w:val="28"/>
                <w:szCs w:val="28"/>
              </w:rPr>
              <w:t>-</w:t>
            </w:r>
            <w:r>
              <w:rPr>
                <w:rFonts w:ascii="Times New Roman" w:hAnsi="Times New Roman"/>
                <w:sz w:val="28"/>
                <w:szCs w:val="28"/>
              </w:rPr>
              <w:t>90</w:t>
            </w:r>
            <w:r w:rsidRPr="002A1672">
              <w:rPr>
                <w:rFonts w:ascii="Times New Roman" w:hAnsi="Times New Roman"/>
                <w:sz w:val="28"/>
                <w:szCs w:val="28"/>
              </w:rPr>
              <w:t>-</w:t>
            </w:r>
            <w:r>
              <w:rPr>
                <w:rFonts w:ascii="Times New Roman" w:hAnsi="Times New Roman"/>
                <w:sz w:val="28"/>
                <w:szCs w:val="28"/>
              </w:rPr>
              <w:t>00</w:t>
            </w:r>
            <w:r w:rsidRPr="002A1672">
              <w:rPr>
                <w:rFonts w:ascii="Times New Roman" w:hAnsi="Times New Roman"/>
                <w:sz w:val="28"/>
                <w:szCs w:val="28"/>
              </w:rPr>
              <w:t xml:space="preserve">; </w:t>
            </w:r>
          </w:p>
          <w:p w14:paraId="24485708" w14:textId="77777777" w:rsidR="00DB0936" w:rsidRPr="002A1672" w:rsidRDefault="00DB0936" w:rsidP="00DB0936">
            <w:pPr>
              <w:spacing w:after="0"/>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DB0936"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51F987E1" w:rsidR="00DB0936" w:rsidRPr="002A1672" w:rsidRDefault="00DB0936" w:rsidP="00346044">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r>
              <w:rPr>
                <w:rFonts w:ascii="Times New Roman" w:eastAsia="Times New Roman" w:hAnsi="Times New Roman"/>
                <w:sz w:val="28"/>
                <w:szCs w:val="28"/>
                <w:lang w:eastAsia="ru-RU"/>
              </w:rPr>
              <w:t xml:space="preserve"> </w:t>
            </w:r>
            <w:r w:rsidRPr="00D640BD">
              <w:rPr>
                <w:rFonts w:ascii="Times New Roman" w:eastAsia="Times New Roman" w:hAnsi="Times New Roman"/>
                <w:color w:val="000000" w:themeColor="text1"/>
                <w:sz w:val="28"/>
                <w:szCs w:val="28"/>
                <w:lang w:eastAsia="ru-RU"/>
              </w:rPr>
              <w:t>(</w:t>
            </w:r>
            <w:r w:rsidR="00976B93" w:rsidRPr="00D640BD">
              <w:rPr>
                <w:rFonts w:ascii="Times New Roman" w:eastAsia="Times New Roman" w:hAnsi="Times New Roman"/>
                <w:color w:val="000000" w:themeColor="text1"/>
                <w:sz w:val="28"/>
                <w:szCs w:val="28"/>
                <w:lang w:eastAsia="ru-RU"/>
              </w:rPr>
              <w:t xml:space="preserve">за спеціальністю: </w:t>
            </w:r>
            <w:r w:rsidR="00660DFC" w:rsidRPr="00D640BD">
              <w:rPr>
                <w:rFonts w:ascii="Times New Roman" w:eastAsia="Times New Roman" w:hAnsi="Times New Roman"/>
                <w:color w:val="000000" w:themeColor="text1"/>
                <w:sz w:val="28"/>
                <w:szCs w:val="28"/>
                <w:lang w:eastAsia="ru-RU"/>
              </w:rPr>
              <w:t>Правознавство</w:t>
            </w:r>
            <w:r w:rsidR="00D640BD" w:rsidRPr="00D640BD">
              <w:rPr>
                <w:rFonts w:ascii="Times New Roman" w:eastAsia="Times New Roman" w:hAnsi="Times New Roman"/>
                <w:color w:val="000000" w:themeColor="text1"/>
                <w:sz w:val="28"/>
                <w:szCs w:val="28"/>
                <w:lang w:eastAsia="ru-RU"/>
              </w:rPr>
              <w:t>)</w:t>
            </w:r>
          </w:p>
        </w:tc>
      </w:tr>
      <w:tr w:rsidR="00DB0936"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DB0936"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77777777" w:rsidR="00DB0936" w:rsidRPr="002A1672" w:rsidRDefault="00DB0936" w:rsidP="00DB093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0B2B10E0"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0E33178D" w14:textId="77777777" w:rsidR="00DB0936" w:rsidRPr="002A1672" w:rsidRDefault="00DB0936" w:rsidP="00DB0936">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591B3C36"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DB0936"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14:paraId="6BEE3718"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14:paraId="2CC47A86" w14:textId="77777777" w:rsidR="00DB0936" w:rsidRPr="002A1672" w:rsidRDefault="00DB0936" w:rsidP="00660DFC">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14:paraId="089D2240"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lastRenderedPageBreak/>
              <w:t>здатність переконувати інших за допомогою аргументів та послідовної комунікації.</w:t>
            </w:r>
          </w:p>
        </w:tc>
      </w:tr>
      <w:tr w:rsidR="00DB0936"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14:paraId="42F79D35"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3056C5EF"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14:paraId="0BF426D6"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DB0936"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2E5089E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15F330C8" w14:textId="683BC316" w:rsidR="00DB0936" w:rsidRPr="002A1672" w:rsidRDefault="003C1380"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w:t>
            </w:r>
            <w:r w:rsidR="00DB0936" w:rsidRPr="002A1672">
              <w:rPr>
                <w:rFonts w:ascii="Times New Roman" w:eastAsia="Times New Roman" w:hAnsi="Times New Roman"/>
                <w:sz w:val="28"/>
                <w:szCs w:val="28"/>
                <w:highlight w:val="white"/>
              </w:rPr>
              <w:t xml:space="preserve">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2DA3299F"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3" w:name="_heading=h.30j0zll" w:colFirst="0" w:colLast="0"/>
            <w:bookmarkEnd w:id="3"/>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67807EBE"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478B31E3"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799CFD42"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16ACC4B7"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Конституції України;</w:t>
            </w:r>
          </w:p>
          <w:p w14:paraId="7D035E25"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державну службу»;</w:t>
            </w:r>
          </w:p>
          <w:p w14:paraId="053F9E17" w14:textId="77777777" w:rsidR="00DB0936" w:rsidRPr="002A1672" w:rsidRDefault="00DB0936"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 та іншого законодавства</w:t>
            </w:r>
          </w:p>
        </w:tc>
      </w:tr>
      <w:tr w:rsidR="00DB0936" w:rsidRPr="002A1672" w14:paraId="0A9510D0"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5054A2B4"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4D90863E"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3C7AE2B3"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прокуратуру»;</w:t>
            </w:r>
          </w:p>
          <w:p w14:paraId="5157AF43"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bookmarkStart w:id="4" w:name="_Hlk151044075"/>
            <w:r w:rsidRPr="002A1672">
              <w:rPr>
                <w:rFonts w:ascii="Times New Roman" w:eastAsia="Times New Roman" w:hAnsi="Times New Roman"/>
                <w:sz w:val="28"/>
                <w:szCs w:val="28"/>
                <w:lang w:eastAsia="ru-RU"/>
              </w:rPr>
              <w:lastRenderedPageBreak/>
              <w:t>Закон України  «Про звернення громадян»;</w:t>
            </w:r>
          </w:p>
          <w:p w14:paraId="30799195" w14:textId="2D6F360B" w:rsidR="00D0682D" w:rsidRPr="002A1672" w:rsidRDefault="00D0682D" w:rsidP="00D0682D">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Закон України  «Про </w:t>
            </w:r>
            <w:r>
              <w:rPr>
                <w:rFonts w:ascii="Times New Roman" w:eastAsia="Times New Roman" w:hAnsi="Times New Roman"/>
                <w:sz w:val="28"/>
                <w:szCs w:val="28"/>
                <w:lang w:eastAsia="ru-RU"/>
              </w:rPr>
              <w:t>державну таємницю</w:t>
            </w:r>
            <w:r w:rsidRPr="002A1672">
              <w:rPr>
                <w:rFonts w:ascii="Times New Roman" w:eastAsia="Times New Roman" w:hAnsi="Times New Roman"/>
                <w:sz w:val="28"/>
                <w:szCs w:val="28"/>
                <w:lang w:eastAsia="ru-RU"/>
              </w:rPr>
              <w:t>»;</w:t>
            </w:r>
          </w:p>
          <w:p w14:paraId="2BEB8D0F"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доступ до публічної інформації»;</w:t>
            </w:r>
          </w:p>
          <w:p w14:paraId="068F4BA0"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електронні документи та електронний документообіг»;</w:t>
            </w:r>
          </w:p>
          <w:p w14:paraId="4CD7FAB5"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Кримінальний кодекс України;</w:t>
            </w:r>
          </w:p>
          <w:p w14:paraId="14B9C501"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Кримінальний процесуальний кодекс України;</w:t>
            </w:r>
          </w:p>
          <w:p w14:paraId="150A10F6"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Кодекс адміністративного судочинства України;</w:t>
            </w:r>
          </w:p>
          <w:p w14:paraId="5875097F" w14:textId="0F4DC4AA" w:rsidR="003C1380" w:rsidRPr="003C1380" w:rsidRDefault="003C1380" w:rsidP="003C1380">
            <w:pPr>
              <w:pStyle w:val="a7"/>
              <w:numPr>
                <w:ilvl w:val="0"/>
                <w:numId w:val="9"/>
              </w:numPr>
              <w:spacing w:after="0" w:line="240" w:lineRule="auto"/>
              <w:rPr>
                <w:rFonts w:ascii="Times New Roman" w:hAnsi="Times New Roman"/>
                <w:sz w:val="28"/>
                <w:szCs w:val="28"/>
              </w:rPr>
            </w:pPr>
            <w:r>
              <w:rPr>
                <w:rFonts w:ascii="Times New Roman" w:hAnsi="Times New Roman"/>
                <w:color w:val="000000" w:themeColor="text1"/>
                <w:sz w:val="28"/>
                <w:szCs w:val="28"/>
                <w:shd w:val="clear" w:color="auto" w:fill="FFFFFF"/>
              </w:rPr>
              <w:t>Н</w:t>
            </w:r>
            <w:r w:rsidRPr="003C1380">
              <w:rPr>
                <w:rFonts w:ascii="Times New Roman" w:hAnsi="Times New Roman"/>
                <w:color w:val="000000" w:themeColor="text1"/>
                <w:sz w:val="28"/>
                <w:szCs w:val="28"/>
                <w:shd w:val="clear" w:color="auto" w:fill="FFFFFF"/>
              </w:rPr>
              <w:t>аказ Генерального прокурора від 09.12.2020 № 578 «Про затвердження Переліку відомостей, що становлять службову інформацію та можуть міститися в документах органів прокуратури України» (із змінами та доповненнями</w:t>
            </w:r>
            <w:r>
              <w:rPr>
                <w:rFonts w:ascii="Times New Roman" w:hAnsi="Times New Roman"/>
                <w:color w:val="000000" w:themeColor="text1"/>
                <w:sz w:val="28"/>
                <w:szCs w:val="28"/>
                <w:shd w:val="clear" w:color="auto" w:fill="FFFFFF"/>
              </w:rPr>
              <w:t>);</w:t>
            </w:r>
            <w:r w:rsidRPr="003C1380">
              <w:rPr>
                <w:rFonts w:ascii="Times New Roman" w:hAnsi="Times New Roman"/>
                <w:color w:val="000000" w:themeColor="text1"/>
                <w:sz w:val="28"/>
                <w:szCs w:val="28"/>
                <w:shd w:val="clear" w:color="auto" w:fill="FFFFFF"/>
              </w:rPr>
              <w:t xml:space="preserve"> </w:t>
            </w:r>
          </w:p>
          <w:p w14:paraId="399E57A4" w14:textId="357E5F49" w:rsidR="00DB0936" w:rsidRPr="002A1672" w:rsidRDefault="003C1380" w:rsidP="003C1380">
            <w:pPr>
              <w:pStyle w:val="a7"/>
              <w:numPr>
                <w:ilvl w:val="0"/>
                <w:numId w:val="9"/>
              </w:numPr>
              <w:spacing w:after="0" w:line="240" w:lineRule="auto"/>
              <w:rPr>
                <w:rFonts w:ascii="Times New Roman" w:hAnsi="Times New Roman"/>
                <w:sz w:val="28"/>
                <w:szCs w:val="28"/>
              </w:rPr>
            </w:pPr>
            <w:r>
              <w:rPr>
                <w:rFonts w:ascii="Times New Roman" w:hAnsi="Times New Roman"/>
                <w:color w:val="000000" w:themeColor="text1"/>
                <w:sz w:val="28"/>
                <w:szCs w:val="28"/>
                <w:shd w:val="clear" w:color="auto" w:fill="FFFFFF"/>
              </w:rPr>
              <w:t>Н</w:t>
            </w:r>
            <w:r w:rsidRPr="003C1380">
              <w:rPr>
                <w:rFonts w:ascii="Times New Roman" w:hAnsi="Times New Roman"/>
                <w:color w:val="000000" w:themeColor="text1"/>
                <w:sz w:val="28"/>
                <w:szCs w:val="28"/>
                <w:shd w:val="clear" w:color="auto" w:fill="FFFFFF"/>
              </w:rPr>
              <w:t>аказ Голови Служби безпеки України від 23.12.2020 № 383 «Про затвердження Зводу відомостей, що становлять державну таємницю» (із змінами та доповненнями</w:t>
            </w:r>
            <w:r>
              <w:rPr>
                <w:b/>
                <w:color w:val="000000" w:themeColor="text1"/>
                <w:szCs w:val="28"/>
                <w:shd w:val="clear" w:color="auto" w:fill="FFFFFF"/>
              </w:rPr>
              <w:t>)</w:t>
            </w:r>
            <w:bookmarkEnd w:id="4"/>
            <w:r>
              <w:rPr>
                <w:b/>
                <w:color w:val="000000" w:themeColor="text1"/>
                <w:szCs w:val="28"/>
                <w:shd w:val="clear" w:color="auto" w:fill="FFFFFF"/>
              </w:rPr>
              <w:t>.</w:t>
            </w:r>
          </w:p>
        </w:tc>
      </w:tr>
    </w:tbl>
    <w:p w14:paraId="13B2B410" w14:textId="77777777"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12963"/>
    <w:rsid w:val="00124533"/>
    <w:rsid w:val="00124E11"/>
    <w:rsid w:val="001361EE"/>
    <w:rsid w:val="00141E21"/>
    <w:rsid w:val="00151B65"/>
    <w:rsid w:val="001906FE"/>
    <w:rsid w:val="001928A3"/>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1CC5"/>
    <w:rsid w:val="002C4970"/>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368F"/>
    <w:rsid w:val="003C1380"/>
    <w:rsid w:val="003C1F2D"/>
    <w:rsid w:val="003E072C"/>
    <w:rsid w:val="003E5820"/>
    <w:rsid w:val="00432F52"/>
    <w:rsid w:val="0043411D"/>
    <w:rsid w:val="0044659E"/>
    <w:rsid w:val="00472FF6"/>
    <w:rsid w:val="00474730"/>
    <w:rsid w:val="00480909"/>
    <w:rsid w:val="004A2C7C"/>
    <w:rsid w:val="004B4BAD"/>
    <w:rsid w:val="004C30CE"/>
    <w:rsid w:val="004E344F"/>
    <w:rsid w:val="00502A99"/>
    <w:rsid w:val="00506888"/>
    <w:rsid w:val="00512296"/>
    <w:rsid w:val="0052255F"/>
    <w:rsid w:val="005226AB"/>
    <w:rsid w:val="00542F83"/>
    <w:rsid w:val="005447F0"/>
    <w:rsid w:val="00550B01"/>
    <w:rsid w:val="005577C2"/>
    <w:rsid w:val="00570267"/>
    <w:rsid w:val="00572AE6"/>
    <w:rsid w:val="005A03F2"/>
    <w:rsid w:val="005C465D"/>
    <w:rsid w:val="005E1EB8"/>
    <w:rsid w:val="00600A2A"/>
    <w:rsid w:val="006175DC"/>
    <w:rsid w:val="00633474"/>
    <w:rsid w:val="00637349"/>
    <w:rsid w:val="00640D8B"/>
    <w:rsid w:val="006467E1"/>
    <w:rsid w:val="0064786F"/>
    <w:rsid w:val="006571B7"/>
    <w:rsid w:val="00660DFC"/>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2BEC"/>
    <w:rsid w:val="0077408D"/>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0C7E"/>
    <w:rsid w:val="008E64CE"/>
    <w:rsid w:val="008F5B10"/>
    <w:rsid w:val="00917297"/>
    <w:rsid w:val="009308CB"/>
    <w:rsid w:val="00933FCD"/>
    <w:rsid w:val="009353BD"/>
    <w:rsid w:val="00944B87"/>
    <w:rsid w:val="00946023"/>
    <w:rsid w:val="00947A46"/>
    <w:rsid w:val="00976B93"/>
    <w:rsid w:val="009927D7"/>
    <w:rsid w:val="009A3132"/>
    <w:rsid w:val="009A345E"/>
    <w:rsid w:val="009A7D2F"/>
    <w:rsid w:val="009B49A2"/>
    <w:rsid w:val="009B60AA"/>
    <w:rsid w:val="009D1DC8"/>
    <w:rsid w:val="009D77C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B3C9D"/>
    <w:rsid w:val="00AC46FE"/>
    <w:rsid w:val="00AD33FB"/>
    <w:rsid w:val="00B0543C"/>
    <w:rsid w:val="00B16328"/>
    <w:rsid w:val="00B2186B"/>
    <w:rsid w:val="00B52F92"/>
    <w:rsid w:val="00B64915"/>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7167F"/>
    <w:rsid w:val="00C85922"/>
    <w:rsid w:val="00C908EB"/>
    <w:rsid w:val="00CD20A5"/>
    <w:rsid w:val="00D0345A"/>
    <w:rsid w:val="00D0537A"/>
    <w:rsid w:val="00D0682D"/>
    <w:rsid w:val="00D12A1C"/>
    <w:rsid w:val="00D37466"/>
    <w:rsid w:val="00D43260"/>
    <w:rsid w:val="00D5369A"/>
    <w:rsid w:val="00D6043B"/>
    <w:rsid w:val="00D640BD"/>
    <w:rsid w:val="00D735C7"/>
    <w:rsid w:val="00D76FE3"/>
    <w:rsid w:val="00D778C5"/>
    <w:rsid w:val="00D779EC"/>
    <w:rsid w:val="00D86862"/>
    <w:rsid w:val="00D9176B"/>
    <w:rsid w:val="00D94D0C"/>
    <w:rsid w:val="00DA71F2"/>
    <w:rsid w:val="00DB0936"/>
    <w:rsid w:val="00DC06EC"/>
    <w:rsid w:val="00DC0CFE"/>
    <w:rsid w:val="00DD3E4D"/>
    <w:rsid w:val="00DE0EF6"/>
    <w:rsid w:val="00DE5774"/>
    <w:rsid w:val="00E04B91"/>
    <w:rsid w:val="00E22FF3"/>
    <w:rsid w:val="00E36D71"/>
    <w:rsid w:val="00E5199A"/>
    <w:rsid w:val="00E570E2"/>
    <w:rsid w:val="00E641D9"/>
    <w:rsid w:val="00E94EC3"/>
    <w:rsid w:val="00E9773A"/>
    <w:rsid w:val="00E9785D"/>
    <w:rsid w:val="00EB214B"/>
    <w:rsid w:val="00EC099C"/>
    <w:rsid w:val="00EE7F10"/>
    <w:rsid w:val="00F10262"/>
    <w:rsid w:val="00F3433A"/>
    <w:rsid w:val="00F35EC5"/>
    <w:rsid w:val="00F36F1C"/>
    <w:rsid w:val="00F509E5"/>
    <w:rsid w:val="00F55646"/>
    <w:rsid w:val="00F556C0"/>
    <w:rsid w:val="00F751D5"/>
    <w:rsid w:val="00F80E97"/>
    <w:rsid w:val="00FB0136"/>
    <w:rsid w:val="00FE5343"/>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customStyle="1" w:styleId="1">
    <w:name w:val="Незакрита згадка1"/>
    <w:basedOn w:val="a0"/>
    <w:uiPriority w:val="99"/>
    <w:semiHidden/>
    <w:unhideWhenUsed/>
    <w:rsid w:val="00570267"/>
    <w:rPr>
      <w:color w:val="605E5C"/>
      <w:shd w:val="clear" w:color="auto" w:fill="E1DFDD"/>
    </w:rPr>
  </w:style>
  <w:style w:type="character" w:customStyle="1" w:styleId="212pt">
    <w:name w:val="Основной текст (2) + 12 pt"/>
    <w:basedOn w:val="a0"/>
    <w:rsid w:val="004B4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5pt">
    <w:name w:val="Основной текст (2) + 10;5 pt;Курсив"/>
    <w:basedOn w:val="a0"/>
    <w:rsid w:val="004B4BAD"/>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3208-B8A5-4C0A-A68D-73DBD49D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1197</Words>
  <Characters>8412</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40</cp:revision>
  <cp:lastPrinted>2024-02-22T14:59:00Z</cp:lastPrinted>
  <dcterms:created xsi:type="dcterms:W3CDTF">2022-06-10T12:22:00Z</dcterms:created>
  <dcterms:modified xsi:type="dcterms:W3CDTF">2024-02-22T15:25:00Z</dcterms:modified>
</cp:coreProperties>
</file>